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https://projektai.intranet.litgrid.eu/PWA/Šventosios%20TP%20skr%20rek%20ŽTŠK/_layouts/15/DocIdRedir.aspx?ID=PVIS-606023553-91</Url>
      <Description>PVIS-606023553-91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PVIS-606023553-91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DC5853-90B7-4592-84CD-B022B0CDF6DC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06CD8D-F1D4-4823-B9FB-037EAD81B0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0x01010066872F3CC8F7D84995438B893169A0800200AD14F4605D1725458753880F81D494FD</vt:lpwstr>
  </property>
  <property fmtid="{D5CDD505-2E9C-101B-9397-08002B2CF9AE}" pid="11" name="_dlc_DocIdItemGuid">
    <vt:lpwstr>f54c2fe9-644d-4ec9-aa4c-ea141f565d62</vt:lpwstr>
  </property>
</Properties>
</file>